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8572" w14:textId="77777777" w:rsidR="00FE7FD7" w:rsidRDefault="00FE7FD7" w:rsidP="00B1496A">
      <w:pPr>
        <w:rPr>
          <w:sz w:val="40"/>
          <w:szCs w:val="40"/>
        </w:rPr>
      </w:pPr>
    </w:p>
    <w:p w14:paraId="0B54DC1D" w14:textId="733E43D9" w:rsidR="00114A9B" w:rsidRPr="00114A9B" w:rsidRDefault="00B1496A" w:rsidP="00B1496A">
      <w:pPr>
        <w:rPr>
          <w:sz w:val="22"/>
        </w:rPr>
      </w:pPr>
      <w:r w:rsidRPr="004C1979">
        <w:rPr>
          <w:sz w:val="40"/>
          <w:szCs w:val="40"/>
        </w:rPr>
        <w:t>Blinde og stærkt svagsynede og beskæftigelse</w:t>
      </w:r>
      <w:bookmarkStart w:id="0" w:name="_Hlk146263525"/>
      <w:r w:rsidR="0090170D">
        <w:rPr>
          <w:sz w:val="40"/>
          <w:szCs w:val="40"/>
        </w:rPr>
        <w:t xml:space="preserve"> </w:t>
      </w:r>
      <w:r w:rsidR="00114A9B">
        <w:rPr>
          <w:sz w:val="40"/>
          <w:szCs w:val="40"/>
        </w:rPr>
        <w:t>–</w:t>
      </w:r>
      <w:r w:rsidR="0090170D">
        <w:rPr>
          <w:sz w:val="40"/>
          <w:szCs w:val="40"/>
        </w:rPr>
        <w:t xml:space="preserve"> 2023</w:t>
      </w:r>
      <w:r w:rsidR="00114A9B">
        <w:rPr>
          <w:sz w:val="22"/>
        </w:rPr>
        <w:br/>
      </w:r>
    </w:p>
    <w:bookmarkEnd w:id="0"/>
    <w:p w14:paraId="34316D91" w14:textId="10527ACB" w:rsidR="00BC556A" w:rsidRPr="00E46F73" w:rsidRDefault="004C1979" w:rsidP="00E46F73">
      <w:pPr>
        <w:rPr>
          <w:b w:val="0"/>
          <w:bCs/>
          <w:sz w:val="22"/>
        </w:rPr>
      </w:pPr>
      <w:r w:rsidRPr="00E46F73">
        <w:rPr>
          <w:b w:val="0"/>
          <w:bCs/>
          <w:sz w:val="22"/>
        </w:rPr>
        <w:t>Arbejdsmarkedet har brug for flere hænder</w:t>
      </w:r>
      <w:r w:rsidR="00A762C4" w:rsidRPr="00E46F73">
        <w:rPr>
          <w:b w:val="0"/>
          <w:bCs/>
          <w:sz w:val="22"/>
        </w:rPr>
        <w:t>,</w:t>
      </w:r>
      <w:r w:rsidRPr="00E46F73">
        <w:rPr>
          <w:b w:val="0"/>
          <w:bCs/>
          <w:sz w:val="22"/>
        </w:rPr>
        <w:t xml:space="preserve"> og </w:t>
      </w:r>
      <w:r w:rsidR="00A762C4" w:rsidRPr="00E46F73">
        <w:rPr>
          <w:b w:val="0"/>
          <w:bCs/>
          <w:sz w:val="22"/>
        </w:rPr>
        <w:t xml:space="preserve">vi skal </w:t>
      </w:r>
      <w:r w:rsidRPr="00E46F73">
        <w:rPr>
          <w:b w:val="0"/>
          <w:bCs/>
          <w:sz w:val="22"/>
        </w:rPr>
        <w:t xml:space="preserve">alle have mulighed for at udleve </w:t>
      </w:r>
      <w:r w:rsidR="00A762C4" w:rsidRPr="00E46F73">
        <w:rPr>
          <w:b w:val="0"/>
          <w:bCs/>
          <w:sz w:val="22"/>
        </w:rPr>
        <w:t>vores</w:t>
      </w:r>
      <w:r w:rsidRPr="00E46F73">
        <w:rPr>
          <w:b w:val="0"/>
          <w:bCs/>
          <w:sz w:val="22"/>
        </w:rPr>
        <w:t xml:space="preserve"> potentiale</w:t>
      </w:r>
      <w:r w:rsidR="00A762C4" w:rsidRPr="00E46F73">
        <w:rPr>
          <w:b w:val="0"/>
          <w:bCs/>
          <w:sz w:val="22"/>
        </w:rPr>
        <w:t xml:space="preserve">, og bidrage med det, vi nu en gang kan. Det er godt for </w:t>
      </w:r>
      <w:r w:rsidR="00DA4EBD" w:rsidRPr="00E46F73">
        <w:rPr>
          <w:b w:val="0"/>
          <w:bCs/>
          <w:sz w:val="22"/>
        </w:rPr>
        <w:t xml:space="preserve">den enkelte </w:t>
      </w:r>
      <w:r w:rsidR="00A762C4" w:rsidRPr="00E46F73">
        <w:rPr>
          <w:b w:val="0"/>
          <w:bCs/>
          <w:sz w:val="22"/>
        </w:rPr>
        <w:t xml:space="preserve">og </w:t>
      </w:r>
      <w:r w:rsidR="00DA4EBD" w:rsidRPr="00E46F73">
        <w:rPr>
          <w:b w:val="0"/>
          <w:bCs/>
          <w:sz w:val="22"/>
        </w:rPr>
        <w:t xml:space="preserve">det er godt for </w:t>
      </w:r>
      <w:r w:rsidR="00A762C4" w:rsidRPr="00E46F73">
        <w:rPr>
          <w:b w:val="0"/>
          <w:bCs/>
          <w:sz w:val="22"/>
        </w:rPr>
        <w:t xml:space="preserve">samfundet. </w:t>
      </w:r>
      <w:r w:rsidR="0007482D" w:rsidRPr="00E46F73">
        <w:rPr>
          <w:b w:val="0"/>
          <w:bCs/>
          <w:sz w:val="22"/>
        </w:rPr>
        <w:t xml:space="preserve">Desværre er det ikke lykkes at få alle med, idet beskæftigelsesgraden blandt blinde og stærkt svagsynede halter </w:t>
      </w:r>
      <w:r w:rsidR="00DA4EBD" w:rsidRPr="00E46F73">
        <w:rPr>
          <w:b w:val="0"/>
          <w:bCs/>
          <w:sz w:val="22"/>
        </w:rPr>
        <w:t xml:space="preserve">langt </w:t>
      </w:r>
      <w:r w:rsidR="0007482D" w:rsidRPr="00E46F73">
        <w:rPr>
          <w:b w:val="0"/>
          <w:bCs/>
          <w:sz w:val="22"/>
        </w:rPr>
        <w:t>efter</w:t>
      </w:r>
      <w:r w:rsidR="00405579" w:rsidRPr="00E46F73">
        <w:rPr>
          <w:b w:val="0"/>
          <w:bCs/>
          <w:sz w:val="22"/>
        </w:rPr>
        <w:t xml:space="preserve">. I 2015 havde 32 % af Dansk Blindesamfunds medlemmer </w:t>
      </w:r>
      <w:r w:rsidR="00823FF7" w:rsidRPr="00E46F73">
        <w:rPr>
          <w:b w:val="0"/>
          <w:bCs/>
          <w:sz w:val="22"/>
        </w:rPr>
        <w:t xml:space="preserve">i alderen 18 til 64 år </w:t>
      </w:r>
      <w:r w:rsidR="00405579" w:rsidRPr="00E46F73">
        <w:rPr>
          <w:b w:val="0"/>
          <w:bCs/>
          <w:sz w:val="22"/>
        </w:rPr>
        <w:t xml:space="preserve">en tilknytning til arbejdsmarkedet, og som det fremgår nedenfor er der ingen </w:t>
      </w:r>
      <w:r w:rsidR="002A67BC" w:rsidRPr="00E46F73">
        <w:rPr>
          <w:b w:val="0"/>
          <w:bCs/>
          <w:sz w:val="22"/>
        </w:rPr>
        <w:t xml:space="preserve">mærkbar, </w:t>
      </w:r>
      <w:r w:rsidR="00405579" w:rsidRPr="00E46F73">
        <w:rPr>
          <w:b w:val="0"/>
          <w:bCs/>
          <w:sz w:val="22"/>
        </w:rPr>
        <w:t xml:space="preserve">positiv udvikling sket siden. </w:t>
      </w:r>
      <w:r w:rsidR="00E46F73" w:rsidRPr="00E46F73">
        <w:rPr>
          <w:b w:val="0"/>
          <w:bCs/>
          <w:sz w:val="22"/>
        </w:rPr>
        <w:t>Instituttet for Blinde og Svagsynede (IBOS) har offentliggjort tilsvarende tal for en bredere gruppe af synshandicappede, som også inkluderer personer med synshandicap, der ikke lever op til Dansk Blindesamfunds medlemskriterium.</w:t>
      </w:r>
    </w:p>
    <w:p w14:paraId="0B3391DB" w14:textId="34CF3758" w:rsidR="004C1979" w:rsidRPr="00FE7FD7" w:rsidRDefault="004C1979" w:rsidP="004C1979">
      <w:pPr>
        <w:pStyle w:val="Overskrift1"/>
        <w:rPr>
          <w:sz w:val="22"/>
          <w:szCs w:val="22"/>
        </w:rPr>
      </w:pPr>
      <w:r w:rsidRPr="00FE7FD7">
        <w:rPr>
          <w:sz w:val="22"/>
          <w:szCs w:val="22"/>
        </w:rPr>
        <w:t>1. Fakta om blinde og stærkt svagsynedes beskæftigelsesgrad</w:t>
      </w:r>
    </w:p>
    <w:p w14:paraId="15B60952" w14:textId="37C43FB8" w:rsidR="00EC1E57" w:rsidRPr="00FE7FD7" w:rsidRDefault="004C1979" w:rsidP="004C1979">
      <w:pPr>
        <w:rPr>
          <w:b w:val="0"/>
          <w:i/>
          <w:iCs/>
          <w:sz w:val="22"/>
        </w:rPr>
      </w:pPr>
      <w:r w:rsidRPr="00FE7FD7">
        <w:rPr>
          <w:b w:val="0"/>
          <w:sz w:val="22"/>
        </w:rPr>
        <w:t>Dansk Blindesamfund har ca. 2.</w:t>
      </w:r>
      <w:r w:rsidR="002A67BC" w:rsidRPr="00FE7FD7">
        <w:rPr>
          <w:b w:val="0"/>
          <w:sz w:val="22"/>
        </w:rPr>
        <w:t>3</w:t>
      </w:r>
      <w:r w:rsidRPr="00FE7FD7">
        <w:rPr>
          <w:b w:val="0"/>
          <w:sz w:val="22"/>
        </w:rPr>
        <w:t>00 medlemmer</w:t>
      </w:r>
      <w:r w:rsidR="00E34F69" w:rsidRPr="00FE7FD7">
        <w:rPr>
          <w:b w:val="0"/>
          <w:sz w:val="22"/>
        </w:rPr>
        <w:t xml:space="preserve">, der alle er blinde eller stærkt svagsynede (synsrest max 10 %) </w:t>
      </w:r>
      <w:r w:rsidRPr="00FE7FD7">
        <w:rPr>
          <w:b w:val="0"/>
          <w:sz w:val="22"/>
        </w:rPr>
        <w:t xml:space="preserve">i </w:t>
      </w:r>
      <w:r w:rsidR="00EC1E57" w:rsidRPr="00FE7FD7">
        <w:rPr>
          <w:b w:val="0"/>
          <w:sz w:val="22"/>
        </w:rPr>
        <w:t>alderen 20 til 6</w:t>
      </w:r>
      <w:r w:rsidR="002A67BC" w:rsidRPr="00FE7FD7">
        <w:rPr>
          <w:b w:val="0"/>
          <w:sz w:val="22"/>
        </w:rPr>
        <w:t>4</w:t>
      </w:r>
      <w:r w:rsidR="00EC1E57" w:rsidRPr="00FE7FD7">
        <w:rPr>
          <w:b w:val="0"/>
          <w:sz w:val="22"/>
        </w:rPr>
        <w:t xml:space="preserve"> år</w:t>
      </w:r>
      <w:bookmarkStart w:id="1" w:name="_Hlk146784504"/>
      <w:r w:rsidR="0007482D" w:rsidRPr="00FE7FD7">
        <w:rPr>
          <w:b w:val="0"/>
          <w:sz w:val="22"/>
        </w:rPr>
        <w:t>.</w:t>
      </w:r>
      <w:r w:rsidR="00B14A42" w:rsidRPr="00FE7FD7">
        <w:rPr>
          <w:b w:val="0"/>
          <w:sz w:val="22"/>
        </w:rPr>
        <w:t xml:space="preserve"> </w:t>
      </w:r>
      <w:r w:rsidR="007A3224">
        <w:rPr>
          <w:b w:val="0"/>
          <w:sz w:val="22"/>
        </w:rPr>
        <w:t xml:space="preserve">Nedenstående registertræk er foretaget i samarbejde med Instituttet for Blinde og Svagsynede. </w:t>
      </w:r>
    </w:p>
    <w:p w14:paraId="168355E1" w14:textId="61FB0C92" w:rsidR="004C1979" w:rsidRPr="00FE7FD7" w:rsidRDefault="00EC1E57" w:rsidP="00FE7FD7">
      <w:pPr>
        <w:spacing w:line="240" w:lineRule="auto"/>
        <w:rPr>
          <w:bCs/>
          <w:sz w:val="22"/>
        </w:rPr>
      </w:pPr>
      <w:r w:rsidRPr="00FE7FD7">
        <w:rPr>
          <w:bCs/>
          <w:sz w:val="22"/>
        </w:rPr>
        <w:t>Tabel 1. Andel af borgere i alderen 20 til 6</w:t>
      </w:r>
      <w:r w:rsidR="002A67BC" w:rsidRPr="00FE7FD7">
        <w:rPr>
          <w:bCs/>
          <w:sz w:val="22"/>
        </w:rPr>
        <w:t>4</w:t>
      </w:r>
      <w:r w:rsidRPr="00FE7FD7">
        <w:rPr>
          <w:bCs/>
          <w:sz w:val="22"/>
        </w:rPr>
        <w:t>, der er i beskæftigelse</w:t>
      </w:r>
      <w:r w:rsidR="00857DB3">
        <w:rPr>
          <w:bCs/>
          <w:sz w:val="22"/>
        </w:rPr>
        <w:t>, november 2021</w:t>
      </w:r>
      <w:r w:rsidR="004C1979" w:rsidRPr="00FE7FD7">
        <w:rPr>
          <w:bCs/>
          <w:sz w:val="22"/>
        </w:rPr>
        <w:t xml:space="preserve"> </w:t>
      </w:r>
      <w:r w:rsidRPr="00FE7FD7">
        <w:rPr>
          <w:b w:val="0"/>
          <w:sz w:val="22"/>
        </w:rPr>
        <w:t>(</w:t>
      </w:r>
      <w:r w:rsidR="00395604" w:rsidRPr="00FE7FD7">
        <w:rPr>
          <w:b w:val="0"/>
          <w:sz w:val="22"/>
        </w:rPr>
        <w:t>Danmarks Statistik</w:t>
      </w:r>
      <w:r w:rsidR="00857DB3">
        <w:rPr>
          <w:b w:val="0"/>
          <w:sz w:val="22"/>
        </w:rPr>
        <w:t xml:space="preserve"> og IBOS</w:t>
      </w:r>
      <w:r w:rsidRPr="00FE7FD7">
        <w:rPr>
          <w:b w:val="0"/>
          <w:sz w:val="22"/>
        </w:rPr>
        <w:t>)</w:t>
      </w:r>
    </w:p>
    <w:tbl>
      <w:tblPr>
        <w:tblW w:w="1431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992"/>
        <w:gridCol w:w="992"/>
        <w:gridCol w:w="992"/>
        <w:gridCol w:w="1003"/>
        <w:gridCol w:w="992"/>
        <w:gridCol w:w="992"/>
        <w:gridCol w:w="992"/>
        <w:gridCol w:w="993"/>
        <w:gridCol w:w="992"/>
        <w:gridCol w:w="1559"/>
      </w:tblGrid>
      <w:tr w:rsidR="00FE7FD7" w:rsidRPr="00FE7FD7" w14:paraId="24F58E73" w14:textId="77777777" w:rsidTr="00FE7FD7">
        <w:trPr>
          <w:trHeight w:val="61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14:paraId="08709D61" w14:textId="77777777" w:rsidR="00FE7FD7" w:rsidRPr="00FE7FD7" w:rsidRDefault="00FE7FD7" w:rsidP="00FE7FD7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14:paraId="635258AB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20-24 år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14:paraId="69208E6E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25-29 år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14:paraId="21050AE6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30-34 år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14:paraId="597FD379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35-39 år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14:paraId="17E0B275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40-44 år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14:paraId="222B02C1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45-49 år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14:paraId="67156E31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50-54 år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14:paraId="3C3143F7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55-59 år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14:paraId="49091F5D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60-64 år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7E051B4F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color w:val="000000"/>
                <w:sz w:val="22"/>
              </w:rPr>
              <w:t>Alle 20 – 64 år</w:t>
            </w:r>
          </w:p>
        </w:tc>
      </w:tr>
      <w:tr w:rsidR="00FE7FD7" w:rsidRPr="00FE7FD7" w14:paraId="6B7C53E0" w14:textId="77777777" w:rsidTr="00FE7FD7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A937" w14:textId="77777777" w:rsidR="00FE7FD7" w:rsidRPr="00FE7FD7" w:rsidRDefault="00FE7FD7" w:rsidP="00FE7FD7">
            <w:pPr>
              <w:spacing w:line="240" w:lineRule="auto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Blinde og stærkt svagsynede medlemmer af Dansk Blindesamfund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A236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19%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B593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32%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BEF0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48%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E4AA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21AE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41%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D478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EBA3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33%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C991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26%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BB88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10C833EA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color w:val="000000"/>
                <w:sz w:val="22"/>
              </w:rPr>
              <w:t>32%</w:t>
            </w:r>
          </w:p>
        </w:tc>
      </w:tr>
      <w:tr w:rsidR="00FE7FD7" w:rsidRPr="00FE7FD7" w14:paraId="789DC808" w14:textId="77777777" w:rsidTr="00FE7FD7">
        <w:trPr>
          <w:trHeight w:val="284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973D" w14:textId="77777777" w:rsidR="00FE7FD7" w:rsidRPr="00FE7FD7" w:rsidRDefault="00FE7FD7" w:rsidP="00FE7FD7">
            <w:pPr>
              <w:spacing w:line="240" w:lineRule="auto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Befolkningen som helhed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B122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6B7A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E030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80%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8C79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83%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D240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85%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C85B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85%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FC24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83%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A395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4EF1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b w:val="0"/>
                <w:bCs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b w:val="0"/>
                <w:bCs/>
                <w:color w:val="000000"/>
                <w:sz w:val="22"/>
              </w:rPr>
              <w:t>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7B5B4CC9" w14:textId="77777777" w:rsidR="00FE7FD7" w:rsidRPr="00FE7FD7" w:rsidRDefault="00FE7FD7" w:rsidP="00FE7FD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E7FD7">
              <w:rPr>
                <w:rFonts w:ascii="Calibri" w:hAnsi="Calibri" w:cs="Calibri"/>
                <w:color w:val="000000"/>
                <w:sz w:val="22"/>
              </w:rPr>
              <w:t>77%</w:t>
            </w:r>
          </w:p>
        </w:tc>
      </w:tr>
      <w:bookmarkEnd w:id="1"/>
    </w:tbl>
    <w:p w14:paraId="15AA9858" w14:textId="77777777" w:rsidR="00FE7FD7" w:rsidRDefault="00FE7FD7" w:rsidP="00FE7FD7">
      <w:pPr>
        <w:rPr>
          <w:b w:val="0"/>
          <w:sz w:val="22"/>
          <w:lang w:eastAsia="da-DK"/>
        </w:rPr>
      </w:pPr>
    </w:p>
    <w:p w14:paraId="25561B86" w14:textId="51B84617" w:rsidR="00BD3360" w:rsidRPr="00FE7FD7" w:rsidRDefault="00823FF7" w:rsidP="00FE7FD7">
      <w:pPr>
        <w:rPr>
          <w:b w:val="0"/>
          <w:sz w:val="22"/>
          <w:lang w:eastAsia="da-DK"/>
        </w:rPr>
      </w:pPr>
      <w:r w:rsidRPr="00FE7FD7">
        <w:rPr>
          <w:b w:val="0"/>
          <w:sz w:val="22"/>
          <w:lang w:eastAsia="da-DK"/>
        </w:rPr>
        <w:t>Som de</w:t>
      </w:r>
      <w:r w:rsidR="00DA4EBD" w:rsidRPr="00FE7FD7">
        <w:rPr>
          <w:b w:val="0"/>
          <w:sz w:val="22"/>
          <w:lang w:eastAsia="da-DK"/>
        </w:rPr>
        <w:t>t</w:t>
      </w:r>
      <w:r w:rsidRPr="00FE7FD7">
        <w:rPr>
          <w:b w:val="0"/>
          <w:sz w:val="22"/>
          <w:lang w:eastAsia="da-DK"/>
        </w:rPr>
        <w:t xml:space="preserve"> fremgår af tabellen oven for, er det svært for blinde og stærkt svagsynede at fastholde en tilknytning til arbejdsmarkedet, og beskæftigelsesgraden falder drastisk med alderen. </w:t>
      </w:r>
      <w:r w:rsidR="002A67BC" w:rsidRPr="00FE7FD7">
        <w:rPr>
          <w:b w:val="0"/>
          <w:sz w:val="22"/>
          <w:lang w:eastAsia="da-DK"/>
        </w:rPr>
        <w:t xml:space="preserve">Til sammenligning fremgår det af </w:t>
      </w:r>
      <w:proofErr w:type="spellStart"/>
      <w:r w:rsidR="0007482D" w:rsidRPr="00FE7FD7">
        <w:rPr>
          <w:b w:val="0"/>
          <w:sz w:val="22"/>
          <w:lang w:eastAsia="da-DK"/>
        </w:rPr>
        <w:t>Vive</w:t>
      </w:r>
      <w:r w:rsidR="002A67BC" w:rsidRPr="00FE7FD7">
        <w:rPr>
          <w:b w:val="0"/>
          <w:sz w:val="22"/>
          <w:lang w:eastAsia="da-DK"/>
        </w:rPr>
        <w:t>’s</w:t>
      </w:r>
      <w:proofErr w:type="spellEnd"/>
      <w:r w:rsidR="0007482D" w:rsidRPr="00FE7FD7">
        <w:rPr>
          <w:rStyle w:val="Fodnotehenvisning"/>
          <w:b w:val="0"/>
          <w:sz w:val="22"/>
          <w:lang w:eastAsia="da-DK"/>
        </w:rPr>
        <w:footnoteReference w:id="1"/>
      </w:r>
      <w:r w:rsidR="002A67BC" w:rsidRPr="00FE7FD7">
        <w:rPr>
          <w:b w:val="0"/>
          <w:sz w:val="22"/>
          <w:lang w:eastAsia="da-DK"/>
        </w:rPr>
        <w:t xml:space="preserve"> seneste undersøgelse af handicap og beskæftigelse, at 6</w:t>
      </w:r>
      <w:r w:rsidR="00F71A48">
        <w:rPr>
          <w:b w:val="0"/>
          <w:sz w:val="22"/>
          <w:lang w:eastAsia="da-DK"/>
        </w:rPr>
        <w:t>0</w:t>
      </w:r>
      <w:r w:rsidR="002A67BC" w:rsidRPr="00FE7FD7">
        <w:rPr>
          <w:b w:val="0"/>
          <w:sz w:val="22"/>
          <w:lang w:eastAsia="da-DK"/>
        </w:rPr>
        <w:t xml:space="preserve"> % af borgere med et handicap </w:t>
      </w:r>
      <w:r w:rsidR="00E34F69" w:rsidRPr="00FE7FD7">
        <w:rPr>
          <w:b w:val="0"/>
          <w:sz w:val="22"/>
          <w:lang w:eastAsia="da-DK"/>
        </w:rPr>
        <w:t xml:space="preserve">i alderen 16 til 64 år </w:t>
      </w:r>
      <w:r w:rsidR="002A67BC" w:rsidRPr="00FE7FD7">
        <w:rPr>
          <w:b w:val="0"/>
          <w:sz w:val="22"/>
          <w:lang w:eastAsia="da-DK"/>
        </w:rPr>
        <w:t xml:space="preserve">var i beskæftigelse. </w:t>
      </w:r>
      <w:r w:rsidR="00BD3360" w:rsidRPr="00FE7FD7">
        <w:rPr>
          <w:b w:val="0"/>
          <w:sz w:val="22"/>
        </w:rPr>
        <w:t>En undersøgelse</w:t>
      </w:r>
      <w:r w:rsidR="000E3A8A" w:rsidRPr="00FE7FD7">
        <w:rPr>
          <w:b w:val="0"/>
          <w:sz w:val="22"/>
        </w:rPr>
        <w:t xml:space="preserve"> gennemført af Dansk Blindesamfund</w:t>
      </w:r>
      <w:r w:rsidR="00E34F69" w:rsidRPr="00FE7FD7">
        <w:rPr>
          <w:rStyle w:val="Fodnotehenvisning"/>
          <w:b w:val="0"/>
          <w:sz w:val="22"/>
        </w:rPr>
        <w:footnoteReference w:id="2"/>
      </w:r>
      <w:r w:rsidR="00BD3360" w:rsidRPr="00FE7FD7">
        <w:rPr>
          <w:b w:val="0"/>
          <w:sz w:val="22"/>
        </w:rPr>
        <w:t xml:space="preserve"> fra 2021 giver indikationer på:  </w:t>
      </w:r>
    </w:p>
    <w:p w14:paraId="20A0E6BC" w14:textId="231C7DD2" w:rsidR="00072F0D" w:rsidRPr="00FE7FD7" w:rsidRDefault="00BD3360" w:rsidP="00BD3360">
      <w:pPr>
        <w:numPr>
          <w:ilvl w:val="0"/>
          <w:numId w:val="9"/>
        </w:numPr>
        <w:spacing w:after="0" w:line="240" w:lineRule="auto"/>
        <w:rPr>
          <w:rFonts w:ascii="Calibri" w:hAnsi="Calibri" w:cs="Calibri"/>
          <w:b w:val="0"/>
          <w:kern w:val="0"/>
          <w:sz w:val="22"/>
        </w:rPr>
      </w:pPr>
      <w:r w:rsidRPr="00FE7FD7">
        <w:rPr>
          <w:rFonts w:ascii="Calibri" w:hAnsi="Calibri" w:cs="Calibri"/>
          <w:b w:val="0"/>
          <w:kern w:val="0"/>
          <w:sz w:val="22"/>
        </w:rPr>
        <w:lastRenderedPageBreak/>
        <w:t>At</w:t>
      </w:r>
      <w:r w:rsidR="00072F0D" w:rsidRPr="00FE7FD7">
        <w:rPr>
          <w:rFonts w:ascii="Calibri" w:hAnsi="Calibri" w:cs="Calibri"/>
          <w:b w:val="0"/>
          <w:kern w:val="0"/>
          <w:sz w:val="22"/>
        </w:rPr>
        <w:t xml:space="preserve"> 75 % af de </w:t>
      </w:r>
      <w:r w:rsidRPr="00FE7FD7">
        <w:rPr>
          <w:rFonts w:ascii="Calibri" w:hAnsi="Calibri" w:cs="Calibri"/>
          <w:b w:val="0"/>
          <w:kern w:val="0"/>
          <w:sz w:val="22"/>
        </w:rPr>
        <w:t>erhvervsbeskæftigede</w:t>
      </w:r>
      <w:r w:rsidR="000E3A8A" w:rsidRPr="00FE7FD7">
        <w:rPr>
          <w:rFonts w:ascii="Calibri" w:hAnsi="Calibri" w:cs="Calibri"/>
          <w:b w:val="0"/>
          <w:kern w:val="0"/>
          <w:sz w:val="22"/>
        </w:rPr>
        <w:t xml:space="preserve"> medlemmer</w:t>
      </w:r>
      <w:r w:rsidRPr="00FE7FD7">
        <w:rPr>
          <w:rFonts w:ascii="Calibri" w:hAnsi="Calibri" w:cs="Calibri"/>
          <w:b w:val="0"/>
          <w:kern w:val="0"/>
          <w:sz w:val="22"/>
        </w:rPr>
        <w:t xml:space="preserve"> har udfordringer ift. </w:t>
      </w:r>
      <w:r w:rsidR="00B543CB" w:rsidRPr="00FE7FD7">
        <w:rPr>
          <w:rFonts w:ascii="Calibri" w:hAnsi="Calibri" w:cs="Calibri"/>
          <w:b w:val="0"/>
          <w:kern w:val="0"/>
          <w:sz w:val="22"/>
        </w:rPr>
        <w:t xml:space="preserve">at </w:t>
      </w:r>
      <w:r w:rsidR="00072F0D" w:rsidRPr="00FE7FD7">
        <w:rPr>
          <w:rFonts w:ascii="Calibri" w:hAnsi="Calibri" w:cs="Calibri"/>
          <w:b w:val="0"/>
          <w:kern w:val="0"/>
          <w:sz w:val="22"/>
        </w:rPr>
        <w:t xml:space="preserve">anvende digitale materialer </w:t>
      </w:r>
      <w:r w:rsidR="00B543CB" w:rsidRPr="00FE7FD7">
        <w:rPr>
          <w:rFonts w:ascii="Calibri" w:hAnsi="Calibri" w:cs="Calibri"/>
          <w:b w:val="0"/>
          <w:kern w:val="0"/>
          <w:sz w:val="22"/>
        </w:rPr>
        <w:t>i forbindelse med deres arbejde.</w:t>
      </w:r>
    </w:p>
    <w:p w14:paraId="7F997225" w14:textId="77777777" w:rsidR="00FE7FD7" w:rsidRPr="00FE7FD7" w:rsidRDefault="00072F0D" w:rsidP="006B1FF9">
      <w:pPr>
        <w:numPr>
          <w:ilvl w:val="0"/>
          <w:numId w:val="8"/>
        </w:numPr>
        <w:contextualSpacing/>
        <w:rPr>
          <w:b w:val="0"/>
          <w:color w:val="000000"/>
          <w:sz w:val="22"/>
        </w:rPr>
      </w:pPr>
      <w:r w:rsidRPr="00FE7FD7">
        <w:rPr>
          <w:b w:val="0"/>
          <w:kern w:val="0"/>
          <w:sz w:val="22"/>
          <w14:ligatures w14:val="none"/>
        </w:rPr>
        <w:t xml:space="preserve">At 40 % har behov for mere undervisning i brugen af </w:t>
      </w:r>
      <w:r w:rsidR="00823FF7" w:rsidRPr="00FE7FD7">
        <w:rPr>
          <w:b w:val="0"/>
          <w:kern w:val="0"/>
          <w:sz w:val="22"/>
          <w14:ligatures w14:val="none"/>
        </w:rPr>
        <w:t>syns</w:t>
      </w:r>
      <w:r w:rsidRPr="00FE7FD7">
        <w:rPr>
          <w:b w:val="0"/>
          <w:kern w:val="0"/>
          <w:sz w:val="22"/>
          <w14:ligatures w14:val="none"/>
        </w:rPr>
        <w:t xml:space="preserve">kompenserende </w:t>
      </w:r>
      <w:r w:rsidR="0067286B" w:rsidRPr="00FE7FD7">
        <w:rPr>
          <w:b w:val="0"/>
          <w:kern w:val="0"/>
          <w:sz w:val="22"/>
          <w14:ligatures w14:val="none"/>
        </w:rPr>
        <w:t>software og hjælpemidler</w:t>
      </w:r>
      <w:r w:rsidR="00A57E87" w:rsidRPr="00FE7FD7">
        <w:rPr>
          <w:b w:val="0"/>
          <w:kern w:val="0"/>
          <w:sz w:val="22"/>
          <w14:ligatures w14:val="none"/>
        </w:rPr>
        <w:t>.</w:t>
      </w:r>
    </w:p>
    <w:p w14:paraId="019D15B9" w14:textId="782D5EC4" w:rsidR="003E5217" w:rsidRPr="00FE7FD7" w:rsidRDefault="00072F0D" w:rsidP="006B1FF9">
      <w:pPr>
        <w:numPr>
          <w:ilvl w:val="0"/>
          <w:numId w:val="8"/>
        </w:numPr>
        <w:contextualSpacing/>
        <w:rPr>
          <w:b w:val="0"/>
          <w:color w:val="000000"/>
          <w:sz w:val="22"/>
        </w:rPr>
      </w:pPr>
      <w:r w:rsidRPr="00FE7FD7">
        <w:rPr>
          <w:b w:val="0"/>
          <w:kern w:val="0"/>
          <w:sz w:val="22"/>
          <w14:ligatures w14:val="none"/>
        </w:rPr>
        <w:t>At 3</w:t>
      </w:r>
      <w:r w:rsidR="00823FF7" w:rsidRPr="00FE7FD7">
        <w:rPr>
          <w:b w:val="0"/>
          <w:kern w:val="0"/>
          <w:sz w:val="22"/>
          <w14:ligatures w14:val="none"/>
        </w:rPr>
        <w:t>3</w:t>
      </w:r>
      <w:r w:rsidRPr="00FE7FD7">
        <w:rPr>
          <w:b w:val="0"/>
          <w:kern w:val="0"/>
          <w:sz w:val="22"/>
          <w14:ligatures w14:val="none"/>
        </w:rPr>
        <w:t xml:space="preserve"> % har behov for mere undervisning i brugen af </w:t>
      </w:r>
      <w:r w:rsidR="008C315F" w:rsidRPr="00FE7FD7">
        <w:rPr>
          <w:b w:val="0"/>
          <w:kern w:val="0"/>
          <w:sz w:val="22"/>
          <w14:ligatures w14:val="none"/>
        </w:rPr>
        <w:t>software</w:t>
      </w:r>
      <w:r w:rsidRPr="00FE7FD7">
        <w:rPr>
          <w:b w:val="0"/>
          <w:kern w:val="0"/>
          <w:sz w:val="22"/>
          <w14:ligatures w14:val="none"/>
        </w:rPr>
        <w:t xml:space="preserve"> som Excel og PowerPoint</w:t>
      </w:r>
      <w:r w:rsidR="00823FF7" w:rsidRPr="00FE7FD7">
        <w:rPr>
          <w:b w:val="0"/>
          <w:kern w:val="0"/>
          <w:sz w:val="22"/>
          <w14:ligatures w14:val="none"/>
        </w:rPr>
        <w:t xml:space="preserve"> samt </w:t>
      </w:r>
      <w:r w:rsidR="00E34F69" w:rsidRPr="00FE7FD7">
        <w:rPr>
          <w:b w:val="0"/>
          <w:kern w:val="0"/>
          <w:sz w:val="22"/>
          <w14:ligatures w14:val="none"/>
        </w:rPr>
        <w:t>arbejdspladsspecifik software</w:t>
      </w:r>
      <w:r w:rsidR="00B14A42" w:rsidRPr="00FE7FD7">
        <w:rPr>
          <w:b w:val="0"/>
          <w:kern w:val="0"/>
          <w:sz w:val="22"/>
          <w14:ligatures w14:val="none"/>
        </w:rPr>
        <w:t xml:space="preserve"> og systemer</w:t>
      </w:r>
      <w:r w:rsidR="00E34F69" w:rsidRPr="00FE7FD7">
        <w:rPr>
          <w:b w:val="0"/>
          <w:kern w:val="0"/>
          <w:sz w:val="22"/>
          <w14:ligatures w14:val="none"/>
        </w:rPr>
        <w:t>,</w:t>
      </w:r>
      <w:r w:rsidR="00B14A42" w:rsidRPr="00FE7FD7">
        <w:rPr>
          <w:b w:val="0"/>
          <w:kern w:val="0"/>
          <w:sz w:val="22"/>
          <w14:ligatures w14:val="none"/>
        </w:rPr>
        <w:t xml:space="preserve"> som arbejdspladsen forventer at man kan anvende</w:t>
      </w:r>
      <w:r w:rsidR="00E34F69" w:rsidRPr="00FE7FD7">
        <w:rPr>
          <w:b w:val="0"/>
          <w:kern w:val="0"/>
          <w:sz w:val="22"/>
          <w14:ligatures w14:val="none"/>
        </w:rPr>
        <w:t>.</w:t>
      </w:r>
    </w:p>
    <w:p w14:paraId="2AFCAC5C" w14:textId="4D20B5F1" w:rsidR="00BC556A" w:rsidRPr="00FE7FD7" w:rsidRDefault="004C1979" w:rsidP="004C1979">
      <w:pPr>
        <w:pStyle w:val="Overskrift1"/>
        <w:rPr>
          <w:rFonts w:eastAsia="Times New Roman"/>
          <w:sz w:val="22"/>
          <w:szCs w:val="22"/>
        </w:rPr>
      </w:pPr>
      <w:r w:rsidRPr="00FE7FD7">
        <w:rPr>
          <w:sz w:val="22"/>
          <w:szCs w:val="22"/>
        </w:rPr>
        <w:t xml:space="preserve">2. </w:t>
      </w:r>
      <w:r w:rsidRPr="00FE7FD7">
        <w:rPr>
          <w:rFonts w:eastAsia="Times New Roman"/>
          <w:sz w:val="22"/>
          <w:szCs w:val="22"/>
        </w:rPr>
        <w:t>Sådan vender vi udviklingen</w:t>
      </w:r>
      <w:r w:rsidR="00140D64" w:rsidRPr="00FE7FD7">
        <w:rPr>
          <w:rFonts w:eastAsia="Times New Roman"/>
          <w:sz w:val="22"/>
          <w:szCs w:val="22"/>
        </w:rPr>
        <w:t>!</w:t>
      </w:r>
    </w:p>
    <w:p w14:paraId="62051331" w14:textId="72412216" w:rsidR="00DA7ED5" w:rsidRPr="00FE7FD7" w:rsidRDefault="005977FE" w:rsidP="00A762C4">
      <w:pPr>
        <w:rPr>
          <w:b w:val="0"/>
          <w:bCs/>
          <w:i/>
          <w:iCs/>
          <w:sz w:val="22"/>
        </w:rPr>
      </w:pPr>
      <w:r w:rsidRPr="00FE7FD7">
        <w:rPr>
          <w:b w:val="0"/>
          <w:bCs/>
          <w:sz w:val="22"/>
        </w:rPr>
        <w:t xml:space="preserve">Vi har behov for </w:t>
      </w:r>
      <w:r w:rsidR="00115583" w:rsidRPr="00FE7FD7">
        <w:rPr>
          <w:b w:val="0"/>
          <w:bCs/>
          <w:sz w:val="22"/>
        </w:rPr>
        <w:t>at der investeres i et</w:t>
      </w:r>
      <w:r w:rsidRPr="00FE7FD7">
        <w:rPr>
          <w:b w:val="0"/>
          <w:bCs/>
          <w:sz w:val="22"/>
        </w:rPr>
        <w:t xml:space="preserve"> mere fleksibelt</w:t>
      </w:r>
      <w:r w:rsidR="00A57E87" w:rsidRPr="00FE7FD7">
        <w:rPr>
          <w:b w:val="0"/>
          <w:bCs/>
          <w:sz w:val="22"/>
        </w:rPr>
        <w:t>, mangfoldigt</w:t>
      </w:r>
      <w:r w:rsidRPr="00FE7FD7">
        <w:rPr>
          <w:b w:val="0"/>
          <w:bCs/>
          <w:sz w:val="22"/>
        </w:rPr>
        <w:t xml:space="preserve"> og</w:t>
      </w:r>
      <w:r w:rsidR="00A57E87" w:rsidRPr="00FE7FD7">
        <w:rPr>
          <w:b w:val="0"/>
          <w:bCs/>
          <w:sz w:val="22"/>
        </w:rPr>
        <w:t xml:space="preserve"> (digitalt)</w:t>
      </w:r>
      <w:r w:rsidRPr="00FE7FD7">
        <w:rPr>
          <w:b w:val="0"/>
          <w:bCs/>
          <w:sz w:val="22"/>
        </w:rPr>
        <w:t xml:space="preserve"> inkluderende arbejdsmarked</w:t>
      </w:r>
      <w:r w:rsidR="00A57E87" w:rsidRPr="00FE7FD7">
        <w:rPr>
          <w:b w:val="0"/>
          <w:bCs/>
          <w:sz w:val="22"/>
        </w:rPr>
        <w:t xml:space="preserve">. Der skal være mere fokus på </w:t>
      </w:r>
      <w:r w:rsidR="00115583" w:rsidRPr="00FE7FD7">
        <w:rPr>
          <w:b w:val="0"/>
          <w:bCs/>
          <w:sz w:val="22"/>
        </w:rPr>
        <w:t xml:space="preserve">muligheder </w:t>
      </w:r>
      <w:r w:rsidR="00A57E87" w:rsidRPr="00FE7FD7">
        <w:rPr>
          <w:b w:val="0"/>
          <w:bCs/>
          <w:sz w:val="22"/>
        </w:rPr>
        <w:t xml:space="preserve">og mindre på </w:t>
      </w:r>
      <w:r w:rsidR="00115583" w:rsidRPr="00FE7FD7">
        <w:rPr>
          <w:b w:val="0"/>
          <w:bCs/>
          <w:sz w:val="22"/>
        </w:rPr>
        <w:t>begrænsninger</w:t>
      </w:r>
      <w:r w:rsidR="00406A27" w:rsidRPr="00FE7FD7">
        <w:rPr>
          <w:b w:val="0"/>
          <w:bCs/>
          <w:sz w:val="22"/>
        </w:rPr>
        <w:t>. Synsfaglig</w:t>
      </w:r>
      <w:r w:rsidR="00114632" w:rsidRPr="00FE7FD7">
        <w:rPr>
          <w:b w:val="0"/>
          <w:bCs/>
          <w:sz w:val="22"/>
        </w:rPr>
        <w:t xml:space="preserve"> udredning skal </w:t>
      </w:r>
      <w:r w:rsidR="00DA7ED5" w:rsidRPr="00FE7FD7">
        <w:rPr>
          <w:b w:val="0"/>
          <w:bCs/>
          <w:sz w:val="22"/>
        </w:rPr>
        <w:t xml:space="preserve">altid </w:t>
      </w:r>
      <w:r w:rsidR="00A762C4" w:rsidRPr="00FE7FD7">
        <w:rPr>
          <w:b w:val="0"/>
          <w:bCs/>
          <w:sz w:val="22"/>
        </w:rPr>
        <w:t>inddrages</w:t>
      </w:r>
      <w:r w:rsidR="00DA7ED5" w:rsidRPr="00FE7FD7">
        <w:rPr>
          <w:b w:val="0"/>
          <w:bCs/>
          <w:sz w:val="22"/>
        </w:rPr>
        <w:t xml:space="preserve"> i sagsbehandlingen</w:t>
      </w:r>
      <w:r w:rsidR="00E34F69" w:rsidRPr="00FE7FD7">
        <w:rPr>
          <w:b w:val="0"/>
          <w:bCs/>
          <w:sz w:val="22"/>
        </w:rPr>
        <w:t xml:space="preserve"> i</w:t>
      </w:r>
      <w:r w:rsidR="00A87C73" w:rsidRPr="00FE7FD7">
        <w:rPr>
          <w:b w:val="0"/>
          <w:bCs/>
          <w:sz w:val="22"/>
        </w:rPr>
        <w:t xml:space="preserve"> jobcentrene</w:t>
      </w:r>
      <w:r w:rsidR="00E34F69" w:rsidRPr="00FE7FD7">
        <w:rPr>
          <w:b w:val="0"/>
          <w:bCs/>
          <w:sz w:val="22"/>
        </w:rPr>
        <w:t>.</w:t>
      </w:r>
    </w:p>
    <w:p w14:paraId="0669699F" w14:textId="6AC530D6" w:rsidR="00BC556A" w:rsidRPr="00FE7FD7" w:rsidRDefault="00DA7ED5" w:rsidP="00A762C4">
      <w:pPr>
        <w:rPr>
          <w:b w:val="0"/>
          <w:bCs/>
          <w:sz w:val="22"/>
        </w:rPr>
      </w:pPr>
      <w:r w:rsidRPr="00FE7FD7">
        <w:rPr>
          <w:b w:val="0"/>
          <w:bCs/>
          <w:sz w:val="22"/>
        </w:rPr>
        <w:t>F</w:t>
      </w:r>
      <w:r w:rsidR="00A762C4" w:rsidRPr="00FE7FD7">
        <w:rPr>
          <w:b w:val="0"/>
          <w:bCs/>
          <w:sz w:val="22"/>
        </w:rPr>
        <w:t>orudsætninger</w:t>
      </w:r>
      <w:r w:rsidRPr="00FE7FD7">
        <w:rPr>
          <w:b w:val="0"/>
          <w:bCs/>
          <w:sz w:val="22"/>
        </w:rPr>
        <w:t>ne</w:t>
      </w:r>
      <w:r w:rsidR="00A762C4" w:rsidRPr="00FE7FD7">
        <w:rPr>
          <w:b w:val="0"/>
          <w:bCs/>
          <w:sz w:val="22"/>
        </w:rPr>
        <w:t xml:space="preserve"> for, at der fremover kan ske positive forandringer </w:t>
      </w:r>
      <w:r w:rsidR="00115583" w:rsidRPr="00FE7FD7">
        <w:rPr>
          <w:b w:val="0"/>
          <w:bCs/>
          <w:sz w:val="22"/>
        </w:rPr>
        <w:t xml:space="preserve">og flere blinde og stærkt svagsynede kan finde fodfæste på arbejdsmarkedet </w:t>
      </w:r>
      <w:r w:rsidR="00A762C4" w:rsidRPr="00FE7FD7">
        <w:rPr>
          <w:b w:val="0"/>
          <w:bCs/>
          <w:sz w:val="22"/>
        </w:rPr>
        <w:t>er</w:t>
      </w:r>
      <w:r w:rsidR="00115583" w:rsidRPr="00FE7FD7">
        <w:rPr>
          <w:b w:val="0"/>
          <w:bCs/>
          <w:sz w:val="22"/>
        </w:rPr>
        <w:t xml:space="preserve">: </w:t>
      </w:r>
      <w:r w:rsidR="00EE7301" w:rsidRPr="00FE7FD7">
        <w:rPr>
          <w:b w:val="0"/>
          <w:bCs/>
          <w:sz w:val="22"/>
        </w:rPr>
        <w:t xml:space="preserve"> </w:t>
      </w:r>
    </w:p>
    <w:p w14:paraId="13B220CB" w14:textId="77777777" w:rsidR="00114A9B" w:rsidRDefault="00BC556A" w:rsidP="00FE7FD7">
      <w:pPr>
        <w:rPr>
          <w:rFonts w:eastAsia="Times New Roman"/>
          <w:sz w:val="22"/>
        </w:rPr>
      </w:pPr>
      <w:r w:rsidRPr="00FE7FD7">
        <w:rPr>
          <w:rFonts w:eastAsia="Times New Roman"/>
          <w:sz w:val="22"/>
        </w:rPr>
        <w:t xml:space="preserve">1) </w:t>
      </w:r>
      <w:r w:rsidR="00A762C4" w:rsidRPr="00FE7FD7">
        <w:rPr>
          <w:rFonts w:eastAsia="Times New Roman"/>
          <w:sz w:val="22"/>
        </w:rPr>
        <w:t>Mere fleksibilitet i de handicapkompenserende ordninger</w:t>
      </w:r>
      <w:r w:rsidR="001772FB" w:rsidRPr="00FE7FD7">
        <w:rPr>
          <w:rFonts w:eastAsia="Times New Roman"/>
          <w:sz w:val="22"/>
        </w:rPr>
        <w:t>, herunder den personlige assistance</w:t>
      </w:r>
    </w:p>
    <w:p w14:paraId="4EE4F324" w14:textId="33A0C5F7" w:rsidR="00FE7FD7" w:rsidRPr="00114A9B" w:rsidRDefault="00114632" w:rsidP="00FE7FD7">
      <w:pPr>
        <w:rPr>
          <w:rFonts w:eastAsia="Times New Roman"/>
          <w:sz w:val="22"/>
        </w:rPr>
      </w:pPr>
      <w:r w:rsidRPr="00FE7FD7">
        <w:rPr>
          <w:b w:val="0"/>
          <w:kern w:val="0"/>
          <w:sz w:val="22"/>
          <w14:ligatures w14:val="none"/>
        </w:rPr>
        <w:t>K</w:t>
      </w:r>
      <w:r w:rsidR="00EE7301" w:rsidRPr="00FE7FD7">
        <w:rPr>
          <w:b w:val="0"/>
          <w:kern w:val="0"/>
          <w:sz w:val="22"/>
          <w14:ligatures w14:val="none"/>
        </w:rPr>
        <w:t xml:space="preserve">ompensation er </w:t>
      </w:r>
      <w:r w:rsidR="005977FE" w:rsidRPr="00FE7FD7">
        <w:rPr>
          <w:b w:val="0"/>
          <w:kern w:val="0"/>
          <w:sz w:val="22"/>
          <w14:ligatures w14:val="none"/>
        </w:rPr>
        <w:t xml:space="preserve">i udgangspunktet </w:t>
      </w:r>
      <w:r w:rsidR="00EE7301" w:rsidRPr="00FE7FD7">
        <w:rPr>
          <w:b w:val="0"/>
          <w:kern w:val="0"/>
          <w:sz w:val="22"/>
          <w14:ligatures w14:val="none"/>
        </w:rPr>
        <w:t>en kompleks størrelse</w:t>
      </w:r>
      <w:r w:rsidR="005977FE" w:rsidRPr="00FE7FD7">
        <w:rPr>
          <w:b w:val="0"/>
          <w:kern w:val="0"/>
          <w:sz w:val="22"/>
          <w14:ligatures w14:val="none"/>
        </w:rPr>
        <w:t>,</w:t>
      </w:r>
      <w:r w:rsidRPr="00FE7FD7">
        <w:rPr>
          <w:b w:val="0"/>
          <w:kern w:val="0"/>
          <w:sz w:val="22"/>
          <w14:ligatures w14:val="none"/>
        </w:rPr>
        <w:t xml:space="preserve"> som kræver</w:t>
      </w:r>
      <w:r w:rsidR="005977FE" w:rsidRPr="00FE7FD7">
        <w:rPr>
          <w:b w:val="0"/>
          <w:kern w:val="0"/>
          <w:sz w:val="22"/>
          <w14:ligatures w14:val="none"/>
        </w:rPr>
        <w:t xml:space="preserve"> viden om samspillet mellem </w:t>
      </w:r>
      <w:r w:rsidR="00EE7301" w:rsidRPr="00FE7FD7">
        <w:rPr>
          <w:b w:val="0"/>
          <w:kern w:val="0"/>
          <w:sz w:val="22"/>
          <w14:ligatures w14:val="none"/>
        </w:rPr>
        <w:t>hjælpemidler og kompensation.</w:t>
      </w:r>
      <w:r w:rsidR="005977FE" w:rsidRPr="00FE7FD7">
        <w:rPr>
          <w:b w:val="0"/>
          <w:kern w:val="0"/>
          <w:sz w:val="22"/>
          <w14:ligatures w14:val="none"/>
        </w:rPr>
        <w:t xml:space="preserve"> Der er derfor behov for inddragelse af synsfaglig viden i sagsbehandlingen om arbejdsrelaterede hjælpemidler</w:t>
      </w:r>
      <w:r w:rsidRPr="00FE7FD7">
        <w:rPr>
          <w:b w:val="0"/>
          <w:kern w:val="0"/>
          <w:sz w:val="22"/>
          <w14:ligatures w14:val="none"/>
        </w:rPr>
        <w:t xml:space="preserve"> og personlig assistance til blinde og stærkt svagsynede</w:t>
      </w:r>
      <w:r w:rsidR="005977FE" w:rsidRPr="00FE7FD7">
        <w:rPr>
          <w:b w:val="0"/>
          <w:kern w:val="0"/>
          <w:sz w:val="22"/>
          <w14:ligatures w14:val="none"/>
        </w:rPr>
        <w:t xml:space="preserve">. </w:t>
      </w:r>
      <w:r w:rsidR="00EE7301" w:rsidRPr="00FE7FD7">
        <w:rPr>
          <w:b w:val="0"/>
          <w:kern w:val="0"/>
          <w:sz w:val="22"/>
          <w14:ligatures w14:val="none"/>
        </w:rPr>
        <w:t xml:space="preserve"> </w:t>
      </w:r>
    </w:p>
    <w:p w14:paraId="74BB765D" w14:textId="30C69F95" w:rsidR="00EE7301" w:rsidRPr="00FE7FD7" w:rsidRDefault="005977FE" w:rsidP="00FE7FD7">
      <w:pPr>
        <w:pStyle w:val="Listeafsnit"/>
        <w:numPr>
          <w:ilvl w:val="0"/>
          <w:numId w:val="11"/>
        </w:numPr>
        <w:rPr>
          <w:b w:val="0"/>
          <w:sz w:val="22"/>
          <w14:ligatures w14:val="none"/>
        </w:rPr>
      </w:pPr>
      <w:r w:rsidRPr="00FE7FD7">
        <w:rPr>
          <w:b w:val="0"/>
          <w:sz w:val="22"/>
          <w14:ligatures w14:val="none"/>
        </w:rPr>
        <w:t xml:space="preserve">Brugen af personlig assistance bør tilrettelægges mere fleksibelt. </w:t>
      </w:r>
    </w:p>
    <w:p w14:paraId="51F198CD" w14:textId="6D02F19C" w:rsidR="00A57E87" w:rsidRPr="00FE7FD7" w:rsidRDefault="00115583" w:rsidP="00B1496A">
      <w:pPr>
        <w:numPr>
          <w:ilvl w:val="0"/>
          <w:numId w:val="4"/>
        </w:numPr>
        <w:contextualSpacing/>
        <w:rPr>
          <w:b w:val="0"/>
          <w:kern w:val="0"/>
          <w:sz w:val="22"/>
          <w14:ligatures w14:val="none"/>
        </w:rPr>
      </w:pPr>
      <w:r w:rsidRPr="00FE7FD7">
        <w:rPr>
          <w:b w:val="0"/>
          <w:kern w:val="0"/>
          <w:sz w:val="22"/>
          <w14:ligatures w14:val="none"/>
        </w:rPr>
        <w:t xml:space="preserve">Der er behov for at kunne få </w:t>
      </w:r>
      <w:r w:rsidR="00A57E87" w:rsidRPr="00FE7FD7">
        <w:rPr>
          <w:b w:val="0"/>
          <w:kern w:val="0"/>
          <w:sz w:val="22"/>
          <w14:ligatures w14:val="none"/>
        </w:rPr>
        <w:t xml:space="preserve">akut hjælp til </w:t>
      </w:r>
      <w:r w:rsidR="00114632" w:rsidRPr="00FE7FD7">
        <w:rPr>
          <w:b w:val="0"/>
          <w:kern w:val="0"/>
          <w:sz w:val="22"/>
          <w14:ligatures w14:val="none"/>
        </w:rPr>
        <w:t xml:space="preserve">at tilgængeliggøre </w:t>
      </w:r>
      <w:r w:rsidR="006C67A8" w:rsidRPr="00FE7FD7">
        <w:rPr>
          <w:b w:val="0"/>
          <w:kern w:val="0"/>
          <w:sz w:val="22"/>
          <w14:ligatures w14:val="none"/>
        </w:rPr>
        <w:t xml:space="preserve">utilgængelige </w:t>
      </w:r>
      <w:r w:rsidR="00A57E87" w:rsidRPr="00FE7FD7">
        <w:rPr>
          <w:b w:val="0"/>
          <w:kern w:val="0"/>
          <w:sz w:val="22"/>
          <w14:ligatures w14:val="none"/>
        </w:rPr>
        <w:t>digitale</w:t>
      </w:r>
      <w:r w:rsidR="006C67A8" w:rsidRPr="00FE7FD7">
        <w:rPr>
          <w:b w:val="0"/>
          <w:kern w:val="0"/>
          <w:sz w:val="22"/>
          <w14:ligatures w14:val="none"/>
        </w:rPr>
        <w:t xml:space="preserve"> materialer og løsninger</w:t>
      </w:r>
      <w:r w:rsidR="00A57E87" w:rsidRPr="00FE7FD7">
        <w:rPr>
          <w:b w:val="0"/>
          <w:kern w:val="0"/>
          <w:sz w:val="22"/>
          <w14:ligatures w14:val="none"/>
        </w:rPr>
        <w:t xml:space="preserve">. </w:t>
      </w:r>
    </w:p>
    <w:p w14:paraId="0BE841AF" w14:textId="17D04806" w:rsidR="005977FE" w:rsidRPr="00FE7FD7" w:rsidRDefault="006C67A8" w:rsidP="00C51EE2">
      <w:pPr>
        <w:numPr>
          <w:ilvl w:val="0"/>
          <w:numId w:val="4"/>
        </w:numPr>
        <w:contextualSpacing/>
        <w:rPr>
          <w:b w:val="0"/>
          <w:i/>
          <w:iCs/>
          <w:kern w:val="0"/>
          <w:sz w:val="22"/>
          <w14:ligatures w14:val="none"/>
        </w:rPr>
      </w:pPr>
      <w:r w:rsidRPr="00FE7FD7">
        <w:rPr>
          <w:b w:val="0"/>
          <w:kern w:val="0"/>
          <w:sz w:val="22"/>
          <w14:ligatures w14:val="none"/>
        </w:rPr>
        <w:t>Der bør være m</w:t>
      </w:r>
      <w:r w:rsidR="00E34F69" w:rsidRPr="00FE7FD7">
        <w:rPr>
          <w:b w:val="0"/>
          <w:kern w:val="0"/>
          <w:sz w:val="22"/>
          <w14:ligatures w14:val="none"/>
        </w:rPr>
        <w:t xml:space="preserve">ulighed for </w:t>
      </w:r>
      <w:r w:rsidRPr="00FE7FD7">
        <w:rPr>
          <w:b w:val="0"/>
          <w:kern w:val="0"/>
          <w:sz w:val="22"/>
          <w14:ligatures w14:val="none"/>
        </w:rPr>
        <w:t xml:space="preserve">støtte til </w:t>
      </w:r>
      <w:r w:rsidR="00E34F69" w:rsidRPr="00FE7FD7">
        <w:rPr>
          <w:b w:val="0"/>
          <w:kern w:val="0"/>
          <w:sz w:val="22"/>
          <w14:ligatures w14:val="none"/>
        </w:rPr>
        <w:t xml:space="preserve">befordring til og fra arbejde. </w:t>
      </w:r>
    </w:p>
    <w:p w14:paraId="3DF8BFF2" w14:textId="77777777" w:rsidR="00E34F69" w:rsidRPr="00FE7FD7" w:rsidRDefault="00E34F69" w:rsidP="00E34F69">
      <w:pPr>
        <w:ind w:left="720"/>
        <w:contextualSpacing/>
        <w:rPr>
          <w:b w:val="0"/>
          <w:i/>
          <w:iCs/>
          <w:kern w:val="0"/>
          <w:sz w:val="22"/>
          <w14:ligatures w14:val="none"/>
        </w:rPr>
      </w:pPr>
    </w:p>
    <w:p w14:paraId="34318648" w14:textId="5737337B" w:rsidR="00FE7FD7" w:rsidRPr="00FE7FD7" w:rsidRDefault="005977FE" w:rsidP="00FE7FD7">
      <w:pPr>
        <w:rPr>
          <w:b w:val="0"/>
          <w:bCs/>
          <w:sz w:val="22"/>
        </w:rPr>
      </w:pPr>
      <w:r w:rsidRPr="00FE7FD7">
        <w:rPr>
          <w:sz w:val="22"/>
        </w:rPr>
        <w:t>2</w:t>
      </w:r>
      <w:r w:rsidR="00B1496A" w:rsidRPr="00FE7FD7">
        <w:rPr>
          <w:sz w:val="22"/>
        </w:rPr>
        <w:t xml:space="preserve">) </w:t>
      </w:r>
      <w:r w:rsidRPr="00FE7FD7">
        <w:rPr>
          <w:sz w:val="22"/>
        </w:rPr>
        <w:t>Fokus på kompetenceudvikling</w:t>
      </w:r>
    </w:p>
    <w:p w14:paraId="340C431D" w14:textId="6AF94C60" w:rsidR="005977FE" w:rsidRPr="00FE7FD7" w:rsidRDefault="00FE7FD7" w:rsidP="00FE7FD7">
      <w:pPr>
        <w:pStyle w:val="Listeafsnit"/>
        <w:numPr>
          <w:ilvl w:val="0"/>
          <w:numId w:val="4"/>
        </w:numPr>
        <w:rPr>
          <w:b w:val="0"/>
          <w:bCs/>
          <w:sz w:val="22"/>
        </w:rPr>
      </w:pPr>
      <w:r w:rsidRPr="00FE7FD7">
        <w:rPr>
          <w:b w:val="0"/>
          <w:bCs/>
          <w:sz w:val="22"/>
        </w:rPr>
        <w:t>D</w:t>
      </w:r>
      <w:r w:rsidR="00B1496A" w:rsidRPr="00FE7FD7">
        <w:rPr>
          <w:b w:val="0"/>
          <w:bCs/>
          <w:sz w:val="22"/>
        </w:rPr>
        <w:t>er skal være mulighed for løbende udvikling</w:t>
      </w:r>
      <w:r w:rsidR="00D57391" w:rsidRPr="00FE7FD7">
        <w:rPr>
          <w:b w:val="0"/>
          <w:bCs/>
          <w:sz w:val="22"/>
        </w:rPr>
        <w:t xml:space="preserve"> af både</w:t>
      </w:r>
      <w:r w:rsidR="00B1496A" w:rsidRPr="00FE7FD7">
        <w:rPr>
          <w:b w:val="0"/>
          <w:bCs/>
          <w:sz w:val="22"/>
        </w:rPr>
        <w:t xml:space="preserve"> </w:t>
      </w:r>
      <w:r w:rsidR="00D57391" w:rsidRPr="00FE7FD7">
        <w:rPr>
          <w:b w:val="0"/>
          <w:bCs/>
          <w:sz w:val="22"/>
        </w:rPr>
        <w:t xml:space="preserve">faglige </w:t>
      </w:r>
      <w:r w:rsidR="00B1496A" w:rsidRPr="00FE7FD7">
        <w:rPr>
          <w:b w:val="0"/>
          <w:bCs/>
          <w:sz w:val="22"/>
        </w:rPr>
        <w:t>kompetencer</w:t>
      </w:r>
      <w:r w:rsidR="00D57391" w:rsidRPr="00FE7FD7">
        <w:rPr>
          <w:b w:val="0"/>
          <w:bCs/>
          <w:sz w:val="22"/>
        </w:rPr>
        <w:t xml:space="preserve"> samt kompetencer til effektivt at kunne bruge synskompenserende hjælpemidler. </w:t>
      </w:r>
    </w:p>
    <w:p w14:paraId="0902393D" w14:textId="2B3354B9" w:rsidR="005977FE" w:rsidRPr="00FE7FD7" w:rsidRDefault="005977FE" w:rsidP="00FE7FD7">
      <w:pPr>
        <w:pStyle w:val="Listeafsnit"/>
        <w:numPr>
          <w:ilvl w:val="0"/>
          <w:numId w:val="4"/>
        </w:numPr>
        <w:rPr>
          <w:b w:val="0"/>
          <w:bCs/>
          <w:sz w:val="22"/>
        </w:rPr>
      </w:pPr>
      <w:r w:rsidRPr="00FE7FD7">
        <w:rPr>
          <w:b w:val="0"/>
          <w:bCs/>
          <w:sz w:val="22"/>
        </w:rPr>
        <w:t xml:space="preserve">Der er behov for at have forsørgelsesgrundlaget i orden i de perioder, </w:t>
      </w:r>
      <w:r w:rsidR="00D57391" w:rsidRPr="00FE7FD7">
        <w:rPr>
          <w:b w:val="0"/>
          <w:bCs/>
          <w:sz w:val="22"/>
        </w:rPr>
        <w:t xml:space="preserve">hvor den enkelte </w:t>
      </w:r>
      <w:r w:rsidRPr="00FE7FD7">
        <w:rPr>
          <w:b w:val="0"/>
          <w:bCs/>
          <w:sz w:val="22"/>
        </w:rPr>
        <w:t>har behov for at dygtiggøre sig</w:t>
      </w:r>
      <w:r w:rsidR="00880CB0" w:rsidRPr="00FE7FD7">
        <w:rPr>
          <w:b w:val="0"/>
          <w:bCs/>
          <w:sz w:val="22"/>
        </w:rPr>
        <w:t xml:space="preserve"> </w:t>
      </w:r>
      <w:proofErr w:type="gramStart"/>
      <w:r w:rsidR="00880CB0" w:rsidRPr="00FE7FD7">
        <w:rPr>
          <w:b w:val="0"/>
          <w:bCs/>
          <w:sz w:val="22"/>
        </w:rPr>
        <w:t>fx</w:t>
      </w:r>
      <w:proofErr w:type="gramEnd"/>
      <w:r w:rsidR="00880CB0" w:rsidRPr="00FE7FD7">
        <w:rPr>
          <w:b w:val="0"/>
          <w:bCs/>
          <w:sz w:val="22"/>
        </w:rPr>
        <w:t xml:space="preserve"> ved at arbejdsgiveren udbetaler den sædvanlige løn og kompenseres herfor. </w:t>
      </w:r>
      <w:r w:rsidR="00880CB0" w:rsidRPr="00FE7FD7">
        <w:rPr>
          <w:b w:val="0"/>
          <w:bCs/>
          <w:i/>
          <w:iCs/>
          <w:sz w:val="22"/>
        </w:rPr>
        <w:t xml:space="preserve"> </w:t>
      </w:r>
    </w:p>
    <w:p w14:paraId="572C977F" w14:textId="77777777" w:rsidR="00115583" w:rsidRPr="00FE7FD7" w:rsidRDefault="00115583" w:rsidP="00115583">
      <w:pPr>
        <w:pStyle w:val="Listeafsnit"/>
        <w:rPr>
          <w:b w:val="0"/>
          <w:bCs/>
          <w:sz w:val="22"/>
        </w:rPr>
      </w:pPr>
    </w:p>
    <w:p w14:paraId="2D0CE6D5" w14:textId="7AA1EF30" w:rsidR="00115583" w:rsidRPr="00FE7FD7" w:rsidRDefault="00115583" w:rsidP="00115583">
      <w:pPr>
        <w:rPr>
          <w:sz w:val="22"/>
        </w:rPr>
      </w:pPr>
      <w:r w:rsidRPr="00FE7FD7">
        <w:rPr>
          <w:sz w:val="22"/>
        </w:rPr>
        <w:t>3) Fokus på støtten til borgere og virksomheder</w:t>
      </w:r>
    </w:p>
    <w:p w14:paraId="5825C212" w14:textId="34534EFE" w:rsidR="005977FE" w:rsidRPr="00FE7FD7" w:rsidRDefault="00F133F7" w:rsidP="00115583">
      <w:pPr>
        <w:pStyle w:val="Listeafsnit"/>
        <w:numPr>
          <w:ilvl w:val="0"/>
          <w:numId w:val="6"/>
        </w:numPr>
        <w:rPr>
          <w:b w:val="0"/>
          <w:bCs/>
          <w:sz w:val="22"/>
        </w:rPr>
      </w:pPr>
      <w:r w:rsidRPr="00FE7FD7">
        <w:rPr>
          <w:b w:val="0"/>
          <w:bCs/>
          <w:sz w:val="22"/>
        </w:rPr>
        <w:t xml:space="preserve">Det er den </w:t>
      </w:r>
      <w:r w:rsidR="00115583" w:rsidRPr="00FE7FD7">
        <w:rPr>
          <w:b w:val="0"/>
          <w:bCs/>
          <w:sz w:val="22"/>
        </w:rPr>
        <w:t xml:space="preserve">håndholdte, virksomhedsrettede </w:t>
      </w:r>
      <w:r w:rsidR="00823FF7" w:rsidRPr="00FE7FD7">
        <w:rPr>
          <w:b w:val="0"/>
          <w:bCs/>
          <w:sz w:val="22"/>
        </w:rPr>
        <w:t>indsatser</w:t>
      </w:r>
      <w:r w:rsidRPr="00FE7FD7">
        <w:rPr>
          <w:b w:val="0"/>
          <w:bCs/>
          <w:sz w:val="22"/>
        </w:rPr>
        <w:t xml:space="preserve"> der </w:t>
      </w:r>
      <w:r w:rsidR="00115583" w:rsidRPr="00FE7FD7">
        <w:rPr>
          <w:b w:val="0"/>
          <w:bCs/>
          <w:sz w:val="22"/>
        </w:rPr>
        <w:t>er de</w:t>
      </w:r>
      <w:r w:rsidRPr="00FE7FD7">
        <w:rPr>
          <w:b w:val="0"/>
          <w:bCs/>
          <w:sz w:val="22"/>
        </w:rPr>
        <w:t>t</w:t>
      </w:r>
      <w:r w:rsidR="00115583" w:rsidRPr="00FE7FD7">
        <w:rPr>
          <w:b w:val="0"/>
          <w:bCs/>
          <w:sz w:val="22"/>
        </w:rPr>
        <w:t xml:space="preserve"> mest effektive redskab til at få ledige</w:t>
      </w:r>
      <w:r w:rsidRPr="00FE7FD7">
        <w:rPr>
          <w:b w:val="0"/>
          <w:bCs/>
          <w:sz w:val="22"/>
        </w:rPr>
        <w:t xml:space="preserve"> med særlige behov</w:t>
      </w:r>
      <w:r w:rsidR="00115583" w:rsidRPr="00FE7FD7">
        <w:rPr>
          <w:b w:val="0"/>
          <w:bCs/>
          <w:sz w:val="22"/>
        </w:rPr>
        <w:t xml:space="preserve"> ind på arbejdsmarkedet.</w:t>
      </w:r>
    </w:p>
    <w:p w14:paraId="4AB5DA49" w14:textId="374FDF5A" w:rsidR="00823FF7" w:rsidRPr="00FE7FD7" w:rsidRDefault="00823FF7" w:rsidP="00115583">
      <w:pPr>
        <w:pStyle w:val="Listeafsnit"/>
        <w:numPr>
          <w:ilvl w:val="0"/>
          <w:numId w:val="6"/>
        </w:numPr>
        <w:rPr>
          <w:b w:val="0"/>
          <w:bCs/>
          <w:sz w:val="22"/>
        </w:rPr>
      </w:pPr>
      <w:r w:rsidRPr="00FE7FD7">
        <w:rPr>
          <w:b w:val="0"/>
          <w:bCs/>
          <w:sz w:val="22"/>
        </w:rPr>
        <w:t>Der er behov for at se på virksomhedernes incitamenter ift. at inkludere mennesker med synshandicap på arbejdsmarkedet.</w:t>
      </w:r>
    </w:p>
    <w:p w14:paraId="18085CF3" w14:textId="32776F13" w:rsidR="00823FF7" w:rsidRPr="00FE7FD7" w:rsidRDefault="00823FF7" w:rsidP="00115583">
      <w:pPr>
        <w:pStyle w:val="Listeafsnit"/>
        <w:numPr>
          <w:ilvl w:val="0"/>
          <w:numId w:val="6"/>
        </w:numPr>
        <w:rPr>
          <w:b w:val="0"/>
          <w:bCs/>
          <w:sz w:val="22"/>
        </w:rPr>
      </w:pPr>
      <w:r w:rsidRPr="00FE7FD7">
        <w:rPr>
          <w:b w:val="0"/>
          <w:bCs/>
          <w:sz w:val="22"/>
        </w:rPr>
        <w:t xml:space="preserve">Der er behov for løbende og målrettet holdningsbearbejdning, så virksomhederne ser muligheder i stedet for begrænsninger.   </w:t>
      </w:r>
    </w:p>
    <w:p w14:paraId="197FFFCA" w14:textId="77777777" w:rsidR="00114A9B" w:rsidRDefault="006E7A54" w:rsidP="006E7A54">
      <w:pPr>
        <w:pStyle w:val="Listeafsnit"/>
        <w:numPr>
          <w:ilvl w:val="0"/>
          <w:numId w:val="6"/>
        </w:numPr>
        <w:rPr>
          <w:b w:val="0"/>
          <w:bCs/>
          <w:sz w:val="22"/>
        </w:rPr>
      </w:pPr>
      <w:r w:rsidRPr="00FE7FD7">
        <w:rPr>
          <w:b w:val="0"/>
          <w:bCs/>
          <w:sz w:val="22"/>
        </w:rPr>
        <w:t>Der er behov for let og uhindret adgang til viden specifikt om synshandicap og beskæftigelse</w:t>
      </w:r>
    </w:p>
    <w:p w14:paraId="23AC1272" w14:textId="77777777" w:rsidR="00114A9B" w:rsidRDefault="00114A9B" w:rsidP="00114A9B">
      <w:pPr>
        <w:pStyle w:val="Listeafsnit"/>
        <w:rPr>
          <w:b w:val="0"/>
          <w:bCs/>
          <w:sz w:val="22"/>
        </w:rPr>
      </w:pPr>
    </w:p>
    <w:p w14:paraId="35CD3F6F" w14:textId="5E84B1F6" w:rsidR="006E7A54" w:rsidRPr="00FE7FD7" w:rsidRDefault="0090170D" w:rsidP="00114A9B">
      <w:pPr>
        <w:pStyle w:val="Listeafsnit"/>
        <w:rPr>
          <w:b w:val="0"/>
          <w:bCs/>
          <w:sz w:val="22"/>
        </w:rPr>
      </w:pPr>
      <w:r w:rsidRPr="00FE7FD7">
        <w:rPr>
          <w:b w:val="0"/>
          <w:bCs/>
          <w:sz w:val="22"/>
        </w:rPr>
        <w:br/>
      </w:r>
    </w:p>
    <w:p w14:paraId="44BCED15" w14:textId="07E11E89" w:rsidR="00880CB0" w:rsidRPr="00FE7FD7" w:rsidRDefault="00880CB0" w:rsidP="006E7A54">
      <w:pPr>
        <w:rPr>
          <w:sz w:val="22"/>
        </w:rPr>
      </w:pPr>
      <w:r w:rsidRPr="00FE7FD7">
        <w:rPr>
          <w:sz w:val="22"/>
        </w:rPr>
        <w:t xml:space="preserve">4) Fokus på mere viden om blinde og svagsynede i beskæftigelse </w:t>
      </w:r>
    </w:p>
    <w:p w14:paraId="40110E60" w14:textId="4317C208" w:rsidR="00114A9B" w:rsidRPr="00631625" w:rsidRDefault="00880CB0" w:rsidP="00114A9B">
      <w:pPr>
        <w:pStyle w:val="Listeafsnit"/>
        <w:numPr>
          <w:ilvl w:val="0"/>
          <w:numId w:val="10"/>
        </w:numPr>
        <w:rPr>
          <w:b w:val="0"/>
          <w:bCs/>
          <w:i/>
          <w:iCs/>
          <w:sz w:val="22"/>
        </w:rPr>
      </w:pPr>
      <w:r w:rsidRPr="00FE7FD7">
        <w:rPr>
          <w:b w:val="0"/>
          <w:bCs/>
          <w:sz w:val="22"/>
        </w:rPr>
        <w:t xml:space="preserve">Der er </w:t>
      </w:r>
      <w:r w:rsidR="006E7A54" w:rsidRPr="00FE7FD7">
        <w:rPr>
          <w:b w:val="0"/>
          <w:bCs/>
          <w:sz w:val="22"/>
        </w:rPr>
        <w:t xml:space="preserve">behov for at undersøge blinde og svagsynedes </w:t>
      </w:r>
      <w:r w:rsidR="008313CC" w:rsidRPr="00FE7FD7">
        <w:rPr>
          <w:b w:val="0"/>
          <w:bCs/>
          <w:sz w:val="22"/>
        </w:rPr>
        <w:t>muligheder og begrænsninger ift. beskæftigelse mere dybdegående. Vi ved ikke nok om, hvor det går gal</w:t>
      </w:r>
      <w:r w:rsidR="003D30E1" w:rsidRPr="00FE7FD7">
        <w:rPr>
          <w:b w:val="0"/>
          <w:bCs/>
          <w:sz w:val="22"/>
        </w:rPr>
        <w:t xml:space="preserve">t eller hvad der </w:t>
      </w:r>
      <w:r w:rsidR="009A3115" w:rsidRPr="00FE7FD7">
        <w:rPr>
          <w:b w:val="0"/>
          <w:bCs/>
          <w:sz w:val="22"/>
        </w:rPr>
        <w:t xml:space="preserve">bidrager til at få og fastholde flere i beskæftigelse. </w:t>
      </w:r>
      <w:r w:rsidR="00114A9B">
        <w:rPr>
          <w:b w:val="0"/>
          <w:bCs/>
          <w:sz w:val="22"/>
        </w:rPr>
        <w:br/>
      </w:r>
    </w:p>
    <w:p w14:paraId="78523D0F" w14:textId="71C2162D" w:rsidR="00114A9B" w:rsidRPr="00631625" w:rsidRDefault="00114A9B" w:rsidP="00114A9B">
      <w:pPr>
        <w:rPr>
          <w:b w:val="0"/>
          <w:bCs/>
          <w:i/>
          <w:iCs/>
          <w:sz w:val="22"/>
        </w:rPr>
      </w:pPr>
      <w:r w:rsidRPr="00631625">
        <w:rPr>
          <w:b w:val="0"/>
          <w:bCs/>
          <w:i/>
          <w:iCs/>
          <w:sz w:val="22"/>
        </w:rPr>
        <w:t>/senest opdateret den 4. marts 2024</w:t>
      </w:r>
    </w:p>
    <w:sectPr w:rsidR="00114A9B" w:rsidRPr="00631625" w:rsidSect="00FE7FD7"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70E9" w14:textId="77777777" w:rsidR="00F84E62" w:rsidRDefault="00F84E62" w:rsidP="004C1979">
      <w:pPr>
        <w:spacing w:after="0" w:line="240" w:lineRule="auto"/>
      </w:pPr>
      <w:r>
        <w:separator/>
      </w:r>
    </w:p>
  </w:endnote>
  <w:endnote w:type="continuationSeparator" w:id="0">
    <w:p w14:paraId="749FA6B5" w14:textId="77777777" w:rsidR="00F84E62" w:rsidRDefault="00F84E62" w:rsidP="004C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0896" w14:textId="77777777" w:rsidR="00F84E62" w:rsidRDefault="00F84E62" w:rsidP="004C1979">
      <w:pPr>
        <w:spacing w:after="0" w:line="240" w:lineRule="auto"/>
      </w:pPr>
      <w:r>
        <w:separator/>
      </w:r>
    </w:p>
  </w:footnote>
  <w:footnote w:type="continuationSeparator" w:id="0">
    <w:p w14:paraId="4152DC29" w14:textId="77777777" w:rsidR="00F84E62" w:rsidRDefault="00F84E62" w:rsidP="004C1979">
      <w:pPr>
        <w:spacing w:after="0" w:line="240" w:lineRule="auto"/>
      </w:pPr>
      <w:r>
        <w:continuationSeparator/>
      </w:r>
    </w:p>
  </w:footnote>
  <w:footnote w:id="1">
    <w:p w14:paraId="28B80DCC" w14:textId="6F0FCE64" w:rsidR="0007482D" w:rsidRDefault="0007482D">
      <w:pPr>
        <w:pStyle w:val="Fodnotetekst"/>
      </w:pPr>
      <w:r>
        <w:rPr>
          <w:rStyle w:val="Fodnotehenvisning"/>
        </w:rPr>
        <w:footnoteRef/>
      </w:r>
      <w:r>
        <w:t xml:space="preserve"> Mona Larsen m.fl. (202</w:t>
      </w:r>
      <w:r w:rsidR="002108AB">
        <w:t>2</w:t>
      </w:r>
      <w:r>
        <w:t xml:space="preserve">): ”Handicap og beskæftigelse”. Vive.  Undersøgelsen, der tager afsat i </w:t>
      </w:r>
      <w:r w:rsidRPr="00A444EB">
        <w:t xml:space="preserve">selvvurderet </w:t>
      </w:r>
      <w:r w:rsidR="00E34F69" w:rsidRPr="00A444EB">
        <w:t>handicap,</w:t>
      </w:r>
      <w:r w:rsidRPr="00A444EB">
        <w:t xml:space="preserve"> bygger på svar fra knap 16.000 respondenter i Arbejdskraftsundersøgelsen, AKU – 4. kvartal 202</w:t>
      </w:r>
      <w:r w:rsidR="002108AB">
        <w:t>2</w:t>
      </w:r>
      <w:r w:rsidRPr="00A444EB">
        <w:t>)</w:t>
      </w:r>
    </w:p>
  </w:footnote>
  <w:footnote w:id="2">
    <w:p w14:paraId="5AF18CAC" w14:textId="61941168" w:rsidR="00E34F69" w:rsidRDefault="00E34F69">
      <w:pPr>
        <w:pStyle w:val="Fodnotetekst"/>
      </w:pPr>
      <w:r>
        <w:rPr>
          <w:rStyle w:val="Fodnotehenvisning"/>
        </w:rPr>
        <w:footnoteRef/>
      </w:r>
      <w:r>
        <w:t xml:space="preserve"> Dansk Blindesamfund: ”</w:t>
      </w:r>
      <w:r w:rsidRPr="00E34F69">
        <w:t xml:space="preserve">Blinde og svagsynede </w:t>
      </w:r>
      <w:r w:rsidRPr="00E34F69">
        <w:rPr>
          <w:sz w:val="18"/>
          <w:szCs w:val="18"/>
        </w:rPr>
        <w:t>erhvervsbeskæftigedes brug af digitale</w:t>
      </w:r>
      <w:r w:rsidRPr="00E34F69">
        <w:rPr>
          <w:rFonts w:ascii="Calibri" w:hAnsi="Calibri" w:cs="Calibri"/>
          <w:sz w:val="18"/>
          <w:szCs w:val="18"/>
        </w:rPr>
        <w:t xml:space="preserve"> platforme mv.” (</w:t>
      </w:r>
      <w:r w:rsidR="00880CB0">
        <w:rPr>
          <w:rFonts w:ascii="Calibri" w:hAnsi="Calibri" w:cs="Calibri"/>
          <w:sz w:val="18"/>
          <w:szCs w:val="18"/>
        </w:rPr>
        <w:t xml:space="preserve">undersøgelsen er </w:t>
      </w:r>
      <w:r w:rsidRPr="00E34F69">
        <w:rPr>
          <w:rFonts w:ascii="Calibri" w:hAnsi="Calibri" w:cs="Calibri"/>
          <w:sz w:val="18"/>
          <w:szCs w:val="18"/>
        </w:rPr>
        <w:t>ikke offentliggjort)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5F3F" w14:textId="3FD085C8" w:rsidR="00463470" w:rsidRDefault="00463470" w:rsidP="00FE7FD7">
    <w:pPr>
      <w:pStyle w:val="Sidehoved"/>
      <w:jc w:val="right"/>
    </w:pPr>
    <w:r>
      <w:rPr>
        <w:noProof/>
      </w:rPr>
      <w:drawing>
        <wp:inline distT="0" distB="0" distL="0" distR="0" wp14:anchorId="392E1900" wp14:editId="23309379">
          <wp:extent cx="2813421" cy="560705"/>
          <wp:effectExtent l="0" t="0" r="6350" b="0"/>
          <wp:docPr id="1787330977" name="Billede 2" descr="Fors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rs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146" cy="566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9AD"/>
    <w:multiLevelType w:val="hybridMultilevel"/>
    <w:tmpl w:val="0BE80D14"/>
    <w:lvl w:ilvl="0" w:tplc="88EC52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7C90"/>
    <w:multiLevelType w:val="hybridMultilevel"/>
    <w:tmpl w:val="04AA35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2D18"/>
    <w:multiLevelType w:val="hybridMultilevel"/>
    <w:tmpl w:val="3D08CE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12AA"/>
    <w:multiLevelType w:val="hybridMultilevel"/>
    <w:tmpl w:val="0054E8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E1CF7"/>
    <w:multiLevelType w:val="hybridMultilevel"/>
    <w:tmpl w:val="B590F74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1A03A82"/>
    <w:multiLevelType w:val="hybridMultilevel"/>
    <w:tmpl w:val="8D3497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20109"/>
    <w:multiLevelType w:val="hybridMultilevel"/>
    <w:tmpl w:val="E1D2D9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C376B"/>
    <w:multiLevelType w:val="hybridMultilevel"/>
    <w:tmpl w:val="8384F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25B99"/>
    <w:multiLevelType w:val="hybridMultilevel"/>
    <w:tmpl w:val="A14A3B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025EC"/>
    <w:multiLevelType w:val="hybridMultilevel"/>
    <w:tmpl w:val="1EBC78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54A62"/>
    <w:multiLevelType w:val="hybridMultilevel"/>
    <w:tmpl w:val="C3A4E3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003225">
    <w:abstractNumId w:val="0"/>
  </w:num>
  <w:num w:numId="2" w16cid:durableId="303047989">
    <w:abstractNumId w:val="4"/>
  </w:num>
  <w:num w:numId="3" w16cid:durableId="1021011779">
    <w:abstractNumId w:val="7"/>
  </w:num>
  <w:num w:numId="4" w16cid:durableId="522284269">
    <w:abstractNumId w:val="3"/>
  </w:num>
  <w:num w:numId="5" w16cid:durableId="671568000">
    <w:abstractNumId w:val="1"/>
  </w:num>
  <w:num w:numId="6" w16cid:durableId="607541946">
    <w:abstractNumId w:val="8"/>
  </w:num>
  <w:num w:numId="7" w16cid:durableId="578634459">
    <w:abstractNumId w:val="2"/>
  </w:num>
  <w:num w:numId="8" w16cid:durableId="477303433">
    <w:abstractNumId w:val="6"/>
  </w:num>
  <w:num w:numId="9" w16cid:durableId="979069211">
    <w:abstractNumId w:val="10"/>
  </w:num>
  <w:num w:numId="10" w16cid:durableId="754209663">
    <w:abstractNumId w:val="9"/>
  </w:num>
  <w:num w:numId="11" w16cid:durableId="2051414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6A"/>
    <w:rsid w:val="000457A2"/>
    <w:rsid w:val="00072F0D"/>
    <w:rsid w:val="0007482D"/>
    <w:rsid w:val="000914D5"/>
    <w:rsid w:val="000C5BD1"/>
    <w:rsid w:val="000E3A8A"/>
    <w:rsid w:val="000E7A78"/>
    <w:rsid w:val="000F24B3"/>
    <w:rsid w:val="00114632"/>
    <w:rsid w:val="00114A9B"/>
    <w:rsid w:val="00115583"/>
    <w:rsid w:val="00140D64"/>
    <w:rsid w:val="001772FB"/>
    <w:rsid w:val="001C046F"/>
    <w:rsid w:val="002108AB"/>
    <w:rsid w:val="00214BB7"/>
    <w:rsid w:val="002A67BC"/>
    <w:rsid w:val="00383AF5"/>
    <w:rsid w:val="00395604"/>
    <w:rsid w:val="003C2DCE"/>
    <w:rsid w:val="003D30E1"/>
    <w:rsid w:val="003E5217"/>
    <w:rsid w:val="00405579"/>
    <w:rsid w:val="00406A27"/>
    <w:rsid w:val="00412CD5"/>
    <w:rsid w:val="004232B7"/>
    <w:rsid w:val="00463470"/>
    <w:rsid w:val="00495708"/>
    <w:rsid w:val="00496283"/>
    <w:rsid w:val="004C1979"/>
    <w:rsid w:val="004F5053"/>
    <w:rsid w:val="005977FE"/>
    <w:rsid w:val="005A4393"/>
    <w:rsid w:val="005D466C"/>
    <w:rsid w:val="00626244"/>
    <w:rsid w:val="00631625"/>
    <w:rsid w:val="0067286B"/>
    <w:rsid w:val="006B0F82"/>
    <w:rsid w:val="006C0CB8"/>
    <w:rsid w:val="006C67A8"/>
    <w:rsid w:val="006E7A54"/>
    <w:rsid w:val="0079373F"/>
    <w:rsid w:val="007A3224"/>
    <w:rsid w:val="007E52A9"/>
    <w:rsid w:val="008106B6"/>
    <w:rsid w:val="00823FF7"/>
    <w:rsid w:val="008313CC"/>
    <w:rsid w:val="00857DB3"/>
    <w:rsid w:val="00880CB0"/>
    <w:rsid w:val="008C315F"/>
    <w:rsid w:val="008F6EEE"/>
    <w:rsid w:val="0090170D"/>
    <w:rsid w:val="00922A56"/>
    <w:rsid w:val="00933F3D"/>
    <w:rsid w:val="009A2312"/>
    <w:rsid w:val="009A3115"/>
    <w:rsid w:val="00A57E87"/>
    <w:rsid w:val="00A762C4"/>
    <w:rsid w:val="00A87C73"/>
    <w:rsid w:val="00B1496A"/>
    <w:rsid w:val="00B14A42"/>
    <w:rsid w:val="00B543CB"/>
    <w:rsid w:val="00BC556A"/>
    <w:rsid w:val="00BD3360"/>
    <w:rsid w:val="00CD6FDD"/>
    <w:rsid w:val="00D152EE"/>
    <w:rsid w:val="00D54096"/>
    <w:rsid w:val="00D57391"/>
    <w:rsid w:val="00DA4EBD"/>
    <w:rsid w:val="00DA7ED5"/>
    <w:rsid w:val="00E34F69"/>
    <w:rsid w:val="00E41E7D"/>
    <w:rsid w:val="00E46F73"/>
    <w:rsid w:val="00E65954"/>
    <w:rsid w:val="00EB512E"/>
    <w:rsid w:val="00EC1E57"/>
    <w:rsid w:val="00EC569D"/>
    <w:rsid w:val="00EE7301"/>
    <w:rsid w:val="00F13373"/>
    <w:rsid w:val="00F133F7"/>
    <w:rsid w:val="00F71A48"/>
    <w:rsid w:val="00F84E62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28A9"/>
  <w15:docId w15:val="{F64F6DEC-E424-4627-AD0D-8449AC7F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979"/>
    <w:rPr>
      <w:b/>
      <w:sz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C1979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1496A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C1979"/>
    <w:rPr>
      <w:rFonts w:eastAsiaTheme="majorEastAsia" w:cstheme="majorBidi"/>
      <w:b/>
      <w:sz w:val="28"/>
      <w:szCs w:val="3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C1979"/>
    <w:pPr>
      <w:spacing w:after="0" w:line="240" w:lineRule="auto"/>
    </w:pPr>
    <w:rPr>
      <w:b w:val="0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C197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C1979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463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3470"/>
    <w:rPr>
      <w:b/>
      <w:sz w:val="28"/>
    </w:rPr>
  </w:style>
  <w:style w:type="paragraph" w:styleId="Sidefod">
    <w:name w:val="footer"/>
    <w:basedOn w:val="Normal"/>
    <w:link w:val="SidefodTegn"/>
    <w:uiPriority w:val="99"/>
    <w:unhideWhenUsed/>
    <w:rsid w:val="00463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347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E597-CA09-4653-A054-AE5AC9E3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653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Lillemose</dc:creator>
  <cp:keywords/>
  <dc:description/>
  <cp:lastModifiedBy>Mariann Lillemose</cp:lastModifiedBy>
  <cp:revision>26</cp:revision>
  <dcterms:created xsi:type="dcterms:W3CDTF">2023-11-13T13:09:00Z</dcterms:created>
  <dcterms:modified xsi:type="dcterms:W3CDTF">2024-03-04T11:35:00Z</dcterms:modified>
</cp:coreProperties>
</file>